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B4" w:rsidRPr="00182388" w:rsidRDefault="008F0D34" w:rsidP="007045B4">
      <w:pPr>
        <w:ind w:firstLineChars="300" w:firstLine="819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下関市</w:t>
      </w:r>
      <w:r w:rsidR="005078D3" w:rsidRPr="00182388">
        <w:rPr>
          <w:rFonts w:hint="eastAsia"/>
          <w:sz w:val="24"/>
          <w:szCs w:val="24"/>
        </w:rPr>
        <w:t>設計</w:t>
      </w:r>
      <w:r w:rsidR="007E7500" w:rsidRPr="00182388">
        <w:rPr>
          <w:rFonts w:hint="eastAsia"/>
          <w:sz w:val="24"/>
          <w:szCs w:val="24"/>
        </w:rPr>
        <w:t>業務委託</w:t>
      </w:r>
      <w:r w:rsidR="00DC5149" w:rsidRPr="00182388">
        <w:rPr>
          <w:rFonts w:hint="eastAsia"/>
          <w:sz w:val="24"/>
          <w:szCs w:val="24"/>
        </w:rPr>
        <w:t>等技術検査</w:t>
      </w:r>
      <w:r w:rsidR="005078D3" w:rsidRPr="00182388">
        <w:rPr>
          <w:rFonts w:hint="eastAsia"/>
          <w:sz w:val="24"/>
          <w:szCs w:val="24"/>
        </w:rPr>
        <w:t>基準</w:t>
      </w:r>
      <w:r w:rsidR="000A278A" w:rsidRPr="00182388">
        <w:rPr>
          <w:rFonts w:hint="eastAsia"/>
          <w:sz w:val="24"/>
          <w:szCs w:val="24"/>
        </w:rPr>
        <w:t>（土木関係）</w:t>
      </w:r>
      <w:bookmarkStart w:id="0" w:name="_GoBack"/>
      <w:bookmarkEnd w:id="0"/>
    </w:p>
    <w:p w:rsidR="005078D3" w:rsidRPr="00182388" w:rsidRDefault="005078D3">
      <w:pPr>
        <w:rPr>
          <w:sz w:val="24"/>
          <w:szCs w:val="24"/>
        </w:rPr>
      </w:pPr>
    </w:p>
    <w:p w:rsidR="005078D3" w:rsidRPr="00182388" w:rsidRDefault="002418D5" w:rsidP="00182388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</w:t>
      </w:r>
      <w:r w:rsidR="005078D3" w:rsidRPr="00182388">
        <w:rPr>
          <w:rFonts w:hint="eastAsia"/>
          <w:sz w:val="24"/>
          <w:szCs w:val="24"/>
        </w:rPr>
        <w:t>目的</w:t>
      </w:r>
      <w:r w:rsidRPr="00182388">
        <w:rPr>
          <w:rFonts w:hint="eastAsia"/>
          <w:sz w:val="24"/>
          <w:szCs w:val="24"/>
        </w:rPr>
        <w:t>）</w:t>
      </w:r>
    </w:p>
    <w:p w:rsidR="002418D5" w:rsidRPr="00182388" w:rsidRDefault="00182388" w:rsidP="00182388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2418D5" w:rsidRPr="00182388">
        <w:rPr>
          <w:rFonts w:hint="eastAsia"/>
          <w:sz w:val="24"/>
          <w:szCs w:val="24"/>
        </w:rPr>
        <w:t>条　この基準は、</w:t>
      </w:r>
      <w:r w:rsidR="002418D5" w:rsidRPr="00182388">
        <w:rPr>
          <w:rFonts w:hint="eastAsia"/>
          <w:color w:val="000000" w:themeColor="text1"/>
          <w:sz w:val="24"/>
          <w:szCs w:val="24"/>
        </w:rPr>
        <w:t>下関市設計</w:t>
      </w:r>
      <w:r w:rsidR="007E7500" w:rsidRPr="00182388">
        <w:rPr>
          <w:rFonts w:hint="eastAsia"/>
          <w:color w:val="000000" w:themeColor="text1"/>
          <w:sz w:val="24"/>
          <w:szCs w:val="24"/>
        </w:rPr>
        <w:t>業務委託</w:t>
      </w:r>
      <w:r w:rsidR="00A731CD" w:rsidRPr="00182388">
        <w:rPr>
          <w:rFonts w:hint="eastAsia"/>
          <w:color w:val="000000" w:themeColor="text1"/>
          <w:sz w:val="24"/>
          <w:szCs w:val="24"/>
        </w:rPr>
        <w:t>等技術検査実施要綱</w:t>
      </w:r>
      <w:r w:rsidR="00AA0E4B" w:rsidRPr="00182388">
        <w:rPr>
          <w:rFonts w:hint="eastAsia"/>
          <w:color w:val="000000" w:themeColor="text1"/>
          <w:sz w:val="24"/>
          <w:szCs w:val="24"/>
        </w:rPr>
        <w:t>第５</w:t>
      </w:r>
      <w:r w:rsidR="002418D5" w:rsidRPr="00182388">
        <w:rPr>
          <w:rFonts w:hint="eastAsia"/>
          <w:color w:val="000000" w:themeColor="text1"/>
          <w:sz w:val="24"/>
          <w:szCs w:val="24"/>
        </w:rPr>
        <w:t>条</w:t>
      </w:r>
      <w:r>
        <w:rPr>
          <w:rFonts w:hint="eastAsia"/>
          <w:color w:val="000000" w:themeColor="text1"/>
          <w:sz w:val="24"/>
          <w:szCs w:val="24"/>
        </w:rPr>
        <w:t>第２項の規定</w:t>
      </w:r>
      <w:r w:rsidR="002418D5" w:rsidRPr="00182388">
        <w:rPr>
          <w:rFonts w:hint="eastAsia"/>
          <w:sz w:val="24"/>
          <w:szCs w:val="24"/>
        </w:rPr>
        <w:t>に基</w:t>
      </w:r>
      <w:r>
        <w:rPr>
          <w:rFonts w:hint="eastAsia"/>
          <w:sz w:val="24"/>
          <w:szCs w:val="24"/>
        </w:rPr>
        <w:t>づき、下関市（上下水道局を除く。）が発注する建設工事に係る設計、測量及び調査業務委託（以下</w:t>
      </w:r>
      <w:r w:rsidR="007E7500" w:rsidRPr="00182388">
        <w:rPr>
          <w:rFonts w:hint="eastAsia"/>
          <w:sz w:val="24"/>
          <w:szCs w:val="24"/>
        </w:rPr>
        <w:t>「業務委託</w:t>
      </w:r>
      <w:r w:rsidR="002418D5" w:rsidRPr="00182388">
        <w:rPr>
          <w:rFonts w:hint="eastAsia"/>
          <w:sz w:val="24"/>
          <w:szCs w:val="24"/>
        </w:rPr>
        <w:t>」という。）について行う</w:t>
      </w:r>
      <w:r>
        <w:rPr>
          <w:rFonts w:hint="eastAsia"/>
          <w:sz w:val="24"/>
          <w:szCs w:val="24"/>
        </w:rPr>
        <w:t>土木関係に係る</w:t>
      </w:r>
      <w:r w:rsidR="002418D5" w:rsidRPr="00182388">
        <w:rPr>
          <w:rFonts w:hint="eastAsia"/>
          <w:sz w:val="24"/>
          <w:szCs w:val="24"/>
        </w:rPr>
        <w:t>技術的</w:t>
      </w:r>
      <w:r w:rsidR="00D1625F" w:rsidRPr="00182388">
        <w:rPr>
          <w:rFonts w:hint="eastAsia"/>
          <w:sz w:val="24"/>
          <w:szCs w:val="24"/>
        </w:rPr>
        <w:t>検査</w:t>
      </w:r>
      <w:r w:rsidR="00E454FE" w:rsidRPr="00182388">
        <w:rPr>
          <w:rFonts w:hint="eastAsia"/>
          <w:sz w:val="24"/>
          <w:szCs w:val="24"/>
        </w:rPr>
        <w:t>（以下</w:t>
      </w:r>
      <w:r>
        <w:rPr>
          <w:rFonts w:hint="eastAsia"/>
          <w:sz w:val="24"/>
          <w:szCs w:val="24"/>
        </w:rPr>
        <w:t>「技術検査」という。）に</w:t>
      </w:r>
      <w:r w:rsidR="00962D0D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必要な</w:t>
      </w:r>
      <w:r w:rsidR="002418D5" w:rsidRPr="00182388">
        <w:rPr>
          <w:rFonts w:hint="eastAsia"/>
          <w:sz w:val="24"/>
          <w:szCs w:val="24"/>
        </w:rPr>
        <w:t>事項を定め、検査の適切な実施を図ることを目的とする。</w:t>
      </w:r>
    </w:p>
    <w:p w:rsidR="002418D5" w:rsidRPr="00182388" w:rsidRDefault="002418D5" w:rsidP="00182388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</w:t>
      </w:r>
      <w:r w:rsidR="00D1625F" w:rsidRPr="00182388">
        <w:rPr>
          <w:rFonts w:hint="eastAsia"/>
          <w:sz w:val="24"/>
          <w:szCs w:val="24"/>
        </w:rPr>
        <w:t>技術</w:t>
      </w:r>
      <w:r w:rsidRPr="00182388">
        <w:rPr>
          <w:rFonts w:hint="eastAsia"/>
          <w:sz w:val="24"/>
          <w:szCs w:val="24"/>
        </w:rPr>
        <w:t>検査の内容）</w:t>
      </w:r>
    </w:p>
    <w:p w:rsidR="002418D5" w:rsidRPr="00182388" w:rsidRDefault="002418D5" w:rsidP="00182388">
      <w:pPr>
        <w:ind w:left="369" w:hangingChars="135" w:hanging="369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 xml:space="preserve">第２条　</w:t>
      </w:r>
      <w:r w:rsidR="00D1625F" w:rsidRPr="00182388">
        <w:rPr>
          <w:rFonts w:hint="eastAsia"/>
          <w:sz w:val="24"/>
          <w:szCs w:val="24"/>
        </w:rPr>
        <w:t>技術</w:t>
      </w:r>
      <w:r w:rsidR="007E7500" w:rsidRPr="00182388">
        <w:rPr>
          <w:rFonts w:hint="eastAsia"/>
          <w:sz w:val="24"/>
          <w:szCs w:val="24"/>
        </w:rPr>
        <w:t>検査は、業務委託の成果品を対象として、契約図書に基づき、業務委託の遂行に求められる専門技術力、</w:t>
      </w:r>
      <w:r w:rsidR="00CF2DEA" w:rsidRPr="00182388">
        <w:rPr>
          <w:rFonts w:hint="eastAsia"/>
          <w:sz w:val="24"/>
          <w:szCs w:val="24"/>
        </w:rPr>
        <w:t>管理技術力、</w:t>
      </w:r>
      <w:r w:rsidR="007E7500" w:rsidRPr="00182388">
        <w:rPr>
          <w:rFonts w:hint="eastAsia"/>
          <w:sz w:val="24"/>
          <w:szCs w:val="24"/>
        </w:rPr>
        <w:t>コミュニケーション力、</w:t>
      </w:r>
      <w:r w:rsidR="00CF2DEA" w:rsidRPr="00182388">
        <w:rPr>
          <w:rFonts w:hint="eastAsia"/>
          <w:sz w:val="24"/>
          <w:szCs w:val="24"/>
        </w:rPr>
        <w:t>取組姿勢</w:t>
      </w:r>
      <w:r w:rsidR="00182388">
        <w:rPr>
          <w:rFonts w:hint="eastAsia"/>
          <w:sz w:val="24"/>
          <w:szCs w:val="24"/>
        </w:rPr>
        <w:t>及び</w:t>
      </w:r>
      <w:r w:rsidRPr="00182388">
        <w:rPr>
          <w:rFonts w:hint="eastAsia"/>
          <w:sz w:val="24"/>
          <w:szCs w:val="24"/>
        </w:rPr>
        <w:t>成果品の品質について</w:t>
      </w:r>
      <w:r w:rsidR="00CF2DEA" w:rsidRPr="00182388">
        <w:rPr>
          <w:rFonts w:hint="eastAsia"/>
          <w:sz w:val="24"/>
          <w:szCs w:val="24"/>
        </w:rPr>
        <w:t>、別表に掲げる事項に留意して、</w:t>
      </w:r>
      <w:r w:rsidRPr="00182388">
        <w:rPr>
          <w:rFonts w:hint="eastAsia"/>
          <w:sz w:val="24"/>
          <w:szCs w:val="24"/>
        </w:rPr>
        <w:t>適否の判断を行うものとする。</w:t>
      </w:r>
    </w:p>
    <w:p w:rsidR="002418D5" w:rsidRPr="00182388" w:rsidRDefault="002418D5" w:rsidP="00182388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（専門技術力の検査）</w:t>
      </w:r>
    </w:p>
    <w:p w:rsidR="002418D5" w:rsidRPr="00182388" w:rsidRDefault="002418D5" w:rsidP="00182388">
      <w:pPr>
        <w:ind w:left="369" w:hangingChars="135" w:hanging="369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第３条　専門技術力の検査は、</w:t>
      </w:r>
      <w:r w:rsidR="00182388">
        <w:rPr>
          <w:rFonts w:hint="eastAsia"/>
          <w:sz w:val="24"/>
          <w:szCs w:val="24"/>
        </w:rPr>
        <w:t>提案力・改善力、業務執行技術力、施工時への配慮及びコスト把握能力</w:t>
      </w:r>
      <w:r w:rsidRPr="00182388">
        <w:rPr>
          <w:rFonts w:hint="eastAsia"/>
          <w:sz w:val="24"/>
          <w:szCs w:val="24"/>
        </w:rPr>
        <w:t>に関する記録と、契約図書とを対比し行うものとする。</w:t>
      </w:r>
    </w:p>
    <w:p w:rsidR="00D1625F" w:rsidRPr="00182388" w:rsidRDefault="00D1625F" w:rsidP="00182388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（管理技術力の検査）</w:t>
      </w:r>
    </w:p>
    <w:p w:rsidR="00D1625F" w:rsidRPr="00182388" w:rsidRDefault="00182388" w:rsidP="00182388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管理技術力の検査は、</w:t>
      </w:r>
      <w:r w:rsidR="00D1625F" w:rsidRPr="00182388">
        <w:rPr>
          <w:rFonts w:hint="eastAsia"/>
          <w:sz w:val="24"/>
          <w:szCs w:val="24"/>
        </w:rPr>
        <w:t>工程管理</w:t>
      </w:r>
      <w:r>
        <w:rPr>
          <w:rFonts w:hint="eastAsia"/>
          <w:sz w:val="24"/>
          <w:szCs w:val="24"/>
        </w:rPr>
        <w:t>能力</w:t>
      </w:r>
      <w:r w:rsidR="00D1625F" w:rsidRPr="00182388">
        <w:rPr>
          <w:rFonts w:hint="eastAsia"/>
          <w:sz w:val="24"/>
          <w:szCs w:val="24"/>
        </w:rPr>
        <w:t>、品質管理</w:t>
      </w:r>
      <w:r>
        <w:rPr>
          <w:rFonts w:hint="eastAsia"/>
          <w:sz w:val="24"/>
          <w:szCs w:val="24"/>
        </w:rPr>
        <w:t>能力並びに迅速性、弾力性及び調整能力</w:t>
      </w:r>
      <w:r w:rsidR="00D1625F" w:rsidRPr="00182388">
        <w:rPr>
          <w:rFonts w:hint="eastAsia"/>
          <w:sz w:val="24"/>
          <w:szCs w:val="24"/>
        </w:rPr>
        <w:t>に関する記録と、契約図書とを対比し行うものとする。</w:t>
      </w:r>
    </w:p>
    <w:p w:rsidR="00D1625F" w:rsidRPr="00182388" w:rsidRDefault="002418D5" w:rsidP="00182388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（コミュニケーション力の</w:t>
      </w:r>
      <w:r w:rsidR="00D1625F" w:rsidRPr="00182388">
        <w:rPr>
          <w:rFonts w:hint="eastAsia"/>
          <w:sz w:val="24"/>
          <w:szCs w:val="24"/>
        </w:rPr>
        <w:t>検査）</w:t>
      </w:r>
    </w:p>
    <w:p w:rsidR="00D1625F" w:rsidRPr="00182388" w:rsidRDefault="00182388" w:rsidP="00182388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コミュニケーション力の検査は、説明力、プレゼンテーション力及び協調性</w:t>
      </w:r>
      <w:r w:rsidR="00D1625F" w:rsidRPr="00182388">
        <w:rPr>
          <w:rFonts w:hint="eastAsia"/>
          <w:sz w:val="24"/>
          <w:szCs w:val="24"/>
        </w:rPr>
        <w:t>に関する記録と、契約図書とを対比し行うものとする。</w:t>
      </w:r>
    </w:p>
    <w:p w:rsidR="00D1625F" w:rsidRPr="00182388" w:rsidRDefault="00D1625F" w:rsidP="00182388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（取組姿勢の検査）</w:t>
      </w:r>
    </w:p>
    <w:p w:rsidR="00540B9C" w:rsidRPr="00182388" w:rsidRDefault="00182388" w:rsidP="00540B9C">
      <w:pPr>
        <w:ind w:left="369" w:hangingChars="135" w:hanging="369"/>
        <w:rPr>
          <w:sz w:val="24"/>
          <w:szCs w:val="24"/>
        </w:rPr>
      </w:pPr>
      <w:r>
        <w:rPr>
          <w:rFonts w:hint="eastAsia"/>
          <w:sz w:val="24"/>
          <w:szCs w:val="24"/>
        </w:rPr>
        <w:t>第６条　取組姿勢の検査は、責任感、</w:t>
      </w:r>
      <w:r w:rsidR="00D1625F" w:rsidRPr="00182388">
        <w:rPr>
          <w:rFonts w:hint="eastAsia"/>
          <w:sz w:val="24"/>
          <w:szCs w:val="24"/>
        </w:rPr>
        <w:t>積極性</w:t>
      </w:r>
      <w:r>
        <w:rPr>
          <w:rFonts w:hint="eastAsia"/>
          <w:sz w:val="24"/>
          <w:szCs w:val="24"/>
        </w:rPr>
        <w:t>及び倫理観</w:t>
      </w:r>
      <w:r w:rsidR="00D1625F" w:rsidRPr="00182388">
        <w:rPr>
          <w:rFonts w:hint="eastAsia"/>
          <w:sz w:val="24"/>
          <w:szCs w:val="24"/>
        </w:rPr>
        <w:t>に関する記録と、契約図書とを対比し行うものとする。</w:t>
      </w:r>
    </w:p>
    <w:p w:rsidR="00D1625F" w:rsidRPr="00182388" w:rsidRDefault="00D1625F" w:rsidP="00182388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（成果品の品質の検査）</w:t>
      </w:r>
    </w:p>
    <w:p w:rsidR="00A143AE" w:rsidRPr="00540B9C" w:rsidRDefault="00D1625F" w:rsidP="00540B9C">
      <w:pPr>
        <w:ind w:left="369" w:hangingChars="135" w:hanging="369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lastRenderedPageBreak/>
        <w:t>第７条　成果品の</w:t>
      </w:r>
      <w:r w:rsidR="002E60B6" w:rsidRPr="00182388">
        <w:rPr>
          <w:rFonts w:hint="eastAsia"/>
          <w:sz w:val="24"/>
          <w:szCs w:val="24"/>
        </w:rPr>
        <w:t>品質の</w:t>
      </w:r>
      <w:r w:rsidR="00540B9C">
        <w:rPr>
          <w:rFonts w:hint="eastAsia"/>
          <w:sz w:val="24"/>
          <w:szCs w:val="24"/>
        </w:rPr>
        <w:t>検査は、目的の達成度、取りまとめの的確性及び</w:t>
      </w:r>
      <w:r w:rsidRPr="00182388">
        <w:rPr>
          <w:rFonts w:hint="eastAsia"/>
          <w:sz w:val="24"/>
          <w:szCs w:val="24"/>
        </w:rPr>
        <w:t>ミス</w:t>
      </w:r>
      <w:r w:rsidR="00540B9C">
        <w:rPr>
          <w:rFonts w:hint="eastAsia"/>
          <w:sz w:val="24"/>
          <w:szCs w:val="24"/>
        </w:rPr>
        <w:t>の有無</w:t>
      </w:r>
      <w:r w:rsidR="00916C95" w:rsidRPr="00182388">
        <w:rPr>
          <w:rFonts w:hint="eastAsia"/>
          <w:sz w:val="24"/>
          <w:szCs w:val="24"/>
        </w:rPr>
        <w:t>と</w:t>
      </w:r>
      <w:r w:rsidRPr="00182388">
        <w:rPr>
          <w:rFonts w:hint="eastAsia"/>
          <w:sz w:val="24"/>
          <w:szCs w:val="24"/>
        </w:rPr>
        <w:t>契約図書とを</w:t>
      </w:r>
      <w:r w:rsidR="00A143AE" w:rsidRPr="00182388">
        <w:rPr>
          <w:rFonts w:hint="eastAsia"/>
          <w:sz w:val="24"/>
          <w:szCs w:val="24"/>
        </w:rPr>
        <w:t>対比し行うものとする。</w:t>
      </w:r>
    </w:p>
    <w:p w:rsidR="00916C95" w:rsidRPr="00182388" w:rsidRDefault="00916C95" w:rsidP="00540B9C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（修補の指示）</w:t>
      </w:r>
    </w:p>
    <w:p w:rsidR="00A143AE" w:rsidRPr="00182388" w:rsidRDefault="00540B9C" w:rsidP="00540B9C">
      <w:pPr>
        <w:ind w:left="273" w:hangingChars="100" w:hanging="273"/>
        <w:rPr>
          <w:sz w:val="24"/>
          <w:szCs w:val="24"/>
        </w:rPr>
      </w:pPr>
      <w:r>
        <w:rPr>
          <w:rFonts w:hint="eastAsia"/>
          <w:sz w:val="24"/>
          <w:szCs w:val="24"/>
        </w:rPr>
        <w:t>第８条　成果について修補の必要があると認めた場合は、受注者に対し</w:t>
      </w:r>
      <w:r w:rsidR="00916C95" w:rsidRPr="00182388">
        <w:rPr>
          <w:rFonts w:hint="eastAsia"/>
          <w:sz w:val="24"/>
          <w:szCs w:val="24"/>
        </w:rPr>
        <w:t>、期限を定めて修補の指示をするものとする。</w:t>
      </w:r>
    </w:p>
    <w:p w:rsidR="00A143AE" w:rsidRPr="00182388" w:rsidRDefault="00540B9C" w:rsidP="00540B9C">
      <w:pPr>
        <w:ind w:firstLineChars="300" w:firstLine="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　</w:t>
      </w:r>
      <w:r w:rsidR="00A143AE" w:rsidRPr="00182388">
        <w:rPr>
          <w:rFonts w:hint="eastAsia"/>
          <w:sz w:val="24"/>
          <w:szCs w:val="24"/>
        </w:rPr>
        <w:t>則</w:t>
      </w:r>
    </w:p>
    <w:p w:rsidR="00A143AE" w:rsidRPr="00182388" w:rsidRDefault="00094073" w:rsidP="00540B9C">
      <w:pPr>
        <w:ind w:firstLineChars="100" w:firstLine="273"/>
        <w:rPr>
          <w:sz w:val="24"/>
          <w:szCs w:val="24"/>
        </w:rPr>
      </w:pPr>
      <w:r w:rsidRPr="00182388">
        <w:rPr>
          <w:rFonts w:hint="eastAsia"/>
          <w:sz w:val="24"/>
          <w:szCs w:val="24"/>
        </w:rPr>
        <w:t>この基準は、平成２８年４月</w:t>
      </w:r>
      <w:r w:rsidR="004D34D5" w:rsidRPr="00182388">
        <w:rPr>
          <w:rFonts w:hint="eastAsia"/>
          <w:sz w:val="24"/>
          <w:szCs w:val="24"/>
        </w:rPr>
        <w:t>１</w:t>
      </w:r>
      <w:r w:rsidR="00540B9C">
        <w:rPr>
          <w:rFonts w:hint="eastAsia"/>
          <w:sz w:val="24"/>
          <w:szCs w:val="24"/>
        </w:rPr>
        <w:t>日から施行</w:t>
      </w:r>
      <w:r w:rsidR="00A143AE" w:rsidRPr="00182388">
        <w:rPr>
          <w:rFonts w:hint="eastAsia"/>
          <w:sz w:val="24"/>
          <w:szCs w:val="24"/>
        </w:rPr>
        <w:t>する</w:t>
      </w:r>
    </w:p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540B9C" w:rsidRDefault="00540B9C" w:rsidP="00CF2DEA"/>
    <w:p w:rsidR="00CF2DEA" w:rsidRPr="00540B9C" w:rsidRDefault="00CF2DEA" w:rsidP="00CF2DEA">
      <w:pPr>
        <w:rPr>
          <w:sz w:val="24"/>
          <w:szCs w:val="24"/>
        </w:rPr>
      </w:pPr>
      <w:r w:rsidRPr="00540B9C">
        <w:rPr>
          <w:rFonts w:hint="eastAsia"/>
          <w:sz w:val="24"/>
          <w:szCs w:val="24"/>
        </w:rPr>
        <w:lastRenderedPageBreak/>
        <w:t>別表</w:t>
      </w:r>
      <w:r w:rsidR="00540B9C" w:rsidRPr="00540B9C">
        <w:rPr>
          <w:rFonts w:hint="eastAsia"/>
          <w:sz w:val="24"/>
          <w:szCs w:val="24"/>
        </w:rPr>
        <w:t>（第２条関係）</w:t>
      </w:r>
    </w:p>
    <w:p w:rsidR="00CF2DEA" w:rsidRPr="00540B9C" w:rsidRDefault="00CF2DEA" w:rsidP="00CF2DEA">
      <w:pPr>
        <w:rPr>
          <w:sz w:val="24"/>
          <w:szCs w:val="24"/>
        </w:rPr>
      </w:pPr>
    </w:p>
    <w:p w:rsidR="00CF2DEA" w:rsidRPr="00540B9C" w:rsidRDefault="00CF2DEA" w:rsidP="00CF2DEA">
      <w:pPr>
        <w:rPr>
          <w:sz w:val="24"/>
          <w:szCs w:val="24"/>
        </w:rPr>
      </w:pPr>
      <w:r w:rsidRPr="00540B9C">
        <w:rPr>
          <w:rFonts w:hint="eastAsia"/>
          <w:sz w:val="24"/>
          <w:szCs w:val="24"/>
        </w:rPr>
        <w:t>技術検査の項目（土木関係）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CF2DEA" w:rsidRPr="00540B9C" w:rsidTr="00540B9C">
        <w:trPr>
          <w:trHeight w:val="613"/>
        </w:trPr>
        <w:tc>
          <w:tcPr>
            <w:tcW w:w="3510" w:type="dxa"/>
            <w:vAlign w:val="center"/>
          </w:tcPr>
          <w:p w:rsidR="00CF2DEA" w:rsidRPr="00540B9C" w:rsidRDefault="00CF2DEA" w:rsidP="00540B9C">
            <w:pPr>
              <w:jc w:val="center"/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jc w:val="center"/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細　　　目</w:t>
            </w:r>
          </w:p>
        </w:tc>
      </w:tr>
      <w:tr w:rsidR="00CF2DEA" w:rsidRPr="00540B9C" w:rsidTr="00540B9C">
        <w:trPr>
          <w:trHeight w:val="613"/>
        </w:trPr>
        <w:tc>
          <w:tcPr>
            <w:tcW w:w="3510" w:type="dxa"/>
            <w:tcBorders>
              <w:bottom w:val="single" w:sz="4" w:space="0" w:color="FFFFFF" w:themeColor="background1"/>
            </w:tcBorders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専門技術力</w:t>
            </w: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提案力、改善力</w:t>
            </w:r>
          </w:p>
        </w:tc>
      </w:tr>
      <w:tr w:rsidR="00CF2DEA" w:rsidRPr="00540B9C" w:rsidTr="00540B9C">
        <w:trPr>
          <w:trHeight w:val="613"/>
        </w:trPr>
        <w:tc>
          <w:tcPr>
            <w:tcW w:w="3510" w:type="dxa"/>
            <w:vMerge w:val="restart"/>
            <w:tcBorders>
              <w:top w:val="single" w:sz="4" w:space="0" w:color="FFFFFF" w:themeColor="background1"/>
            </w:tcBorders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業務執行技術力</w:t>
            </w:r>
          </w:p>
        </w:tc>
      </w:tr>
      <w:tr w:rsidR="00CF2DEA" w:rsidRPr="00540B9C" w:rsidTr="00540B9C">
        <w:trPr>
          <w:trHeight w:val="613"/>
        </w:trPr>
        <w:tc>
          <w:tcPr>
            <w:tcW w:w="3510" w:type="dxa"/>
            <w:vMerge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施工時への配慮</w:t>
            </w:r>
          </w:p>
        </w:tc>
      </w:tr>
      <w:tr w:rsidR="00CF2DEA" w:rsidRPr="00540B9C" w:rsidTr="00540B9C">
        <w:trPr>
          <w:trHeight w:val="613"/>
        </w:trPr>
        <w:tc>
          <w:tcPr>
            <w:tcW w:w="3510" w:type="dxa"/>
            <w:vMerge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コスト把握能力</w:t>
            </w:r>
          </w:p>
        </w:tc>
      </w:tr>
      <w:tr w:rsidR="00CF2DEA" w:rsidRPr="00540B9C" w:rsidTr="00540B9C">
        <w:trPr>
          <w:trHeight w:val="613"/>
        </w:trPr>
        <w:tc>
          <w:tcPr>
            <w:tcW w:w="3510" w:type="dxa"/>
            <w:tcBorders>
              <w:bottom w:val="single" w:sz="4" w:space="0" w:color="FFFFFF" w:themeColor="background1"/>
            </w:tcBorders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管理技術力</w:t>
            </w: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工程管理能力</w:t>
            </w:r>
          </w:p>
        </w:tc>
      </w:tr>
      <w:tr w:rsidR="00CF2DEA" w:rsidRPr="00540B9C" w:rsidTr="00540B9C">
        <w:trPr>
          <w:trHeight w:val="613"/>
        </w:trPr>
        <w:tc>
          <w:tcPr>
            <w:tcW w:w="3510" w:type="dxa"/>
            <w:vMerge w:val="restart"/>
            <w:tcBorders>
              <w:top w:val="single" w:sz="4" w:space="0" w:color="FFFFFF" w:themeColor="background1"/>
            </w:tcBorders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品質管理能力</w:t>
            </w:r>
          </w:p>
        </w:tc>
      </w:tr>
      <w:tr w:rsidR="00CF2DEA" w:rsidRPr="00540B9C" w:rsidTr="00540B9C">
        <w:trPr>
          <w:trHeight w:val="613"/>
        </w:trPr>
        <w:tc>
          <w:tcPr>
            <w:tcW w:w="3510" w:type="dxa"/>
            <w:vMerge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CF2DEA" w:rsidRPr="00540B9C" w:rsidRDefault="00CF2DEA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迅速性、弾力性、調整能力</w:t>
            </w:r>
          </w:p>
        </w:tc>
      </w:tr>
      <w:tr w:rsidR="00540B9C" w:rsidRPr="00540B9C" w:rsidTr="00540B9C">
        <w:trPr>
          <w:trHeight w:val="613"/>
        </w:trPr>
        <w:tc>
          <w:tcPr>
            <w:tcW w:w="3510" w:type="dxa"/>
            <w:vMerge w:val="restart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コミュニケーション力</w:t>
            </w:r>
          </w:p>
        </w:tc>
        <w:tc>
          <w:tcPr>
            <w:tcW w:w="5529" w:type="dxa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説明力</w:t>
            </w:r>
          </w:p>
        </w:tc>
      </w:tr>
      <w:tr w:rsidR="00540B9C" w:rsidRPr="00540B9C" w:rsidTr="00540B9C">
        <w:trPr>
          <w:trHeight w:val="613"/>
        </w:trPr>
        <w:tc>
          <w:tcPr>
            <w:tcW w:w="3510" w:type="dxa"/>
            <w:vMerge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プレゼンテーション力</w:t>
            </w:r>
          </w:p>
        </w:tc>
      </w:tr>
      <w:tr w:rsidR="00540B9C" w:rsidRPr="00540B9C" w:rsidTr="00540B9C">
        <w:trPr>
          <w:trHeight w:val="613"/>
        </w:trPr>
        <w:tc>
          <w:tcPr>
            <w:tcW w:w="3510" w:type="dxa"/>
            <w:vMerge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協調性</w:t>
            </w:r>
          </w:p>
        </w:tc>
      </w:tr>
      <w:tr w:rsidR="00540B9C" w:rsidRPr="00540B9C" w:rsidTr="00540B9C">
        <w:trPr>
          <w:trHeight w:val="613"/>
        </w:trPr>
        <w:tc>
          <w:tcPr>
            <w:tcW w:w="3510" w:type="dxa"/>
            <w:vMerge w:val="restart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取組姿勢</w:t>
            </w:r>
          </w:p>
        </w:tc>
        <w:tc>
          <w:tcPr>
            <w:tcW w:w="5529" w:type="dxa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責任感</w:t>
            </w:r>
          </w:p>
        </w:tc>
      </w:tr>
      <w:tr w:rsidR="00540B9C" w:rsidRPr="00540B9C" w:rsidTr="00540B9C">
        <w:trPr>
          <w:trHeight w:val="613"/>
        </w:trPr>
        <w:tc>
          <w:tcPr>
            <w:tcW w:w="3510" w:type="dxa"/>
            <w:vMerge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積極性</w:t>
            </w:r>
          </w:p>
        </w:tc>
      </w:tr>
      <w:tr w:rsidR="00540B9C" w:rsidRPr="00540B9C" w:rsidTr="00540B9C">
        <w:trPr>
          <w:trHeight w:val="613"/>
        </w:trPr>
        <w:tc>
          <w:tcPr>
            <w:tcW w:w="3510" w:type="dxa"/>
            <w:vMerge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40B9C" w:rsidRPr="00540B9C" w:rsidRDefault="00540B9C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倫理観</w:t>
            </w:r>
          </w:p>
        </w:tc>
      </w:tr>
      <w:tr w:rsidR="00754D10" w:rsidRPr="00540B9C" w:rsidTr="00754D10">
        <w:trPr>
          <w:trHeight w:val="585"/>
        </w:trPr>
        <w:tc>
          <w:tcPr>
            <w:tcW w:w="3510" w:type="dxa"/>
            <w:vAlign w:val="center"/>
          </w:tcPr>
          <w:p w:rsidR="00754D10" w:rsidRPr="00540B9C" w:rsidRDefault="00754D10" w:rsidP="00540B9C">
            <w:pPr>
              <w:rPr>
                <w:sz w:val="24"/>
                <w:szCs w:val="24"/>
              </w:rPr>
            </w:pPr>
            <w:r w:rsidRPr="00540B9C">
              <w:rPr>
                <w:rFonts w:hint="eastAsia"/>
                <w:sz w:val="24"/>
                <w:szCs w:val="24"/>
              </w:rPr>
              <w:t>成果品の品質</w:t>
            </w:r>
          </w:p>
        </w:tc>
        <w:tc>
          <w:tcPr>
            <w:tcW w:w="5529" w:type="dxa"/>
            <w:vAlign w:val="center"/>
          </w:tcPr>
          <w:p w:rsidR="00754D10" w:rsidRPr="00540B9C" w:rsidRDefault="00754D10" w:rsidP="00540B9C">
            <w:pPr>
              <w:rPr>
                <w:sz w:val="24"/>
                <w:szCs w:val="24"/>
              </w:rPr>
            </w:pPr>
          </w:p>
        </w:tc>
      </w:tr>
    </w:tbl>
    <w:p w:rsidR="00CF2DEA" w:rsidRPr="00540B9C" w:rsidRDefault="00540B9C" w:rsidP="00754D10">
      <w:pPr>
        <w:ind w:leftChars="30" w:left="619" w:hangingChars="200" w:hanging="546"/>
        <w:rPr>
          <w:sz w:val="24"/>
          <w:szCs w:val="24"/>
        </w:rPr>
      </w:pPr>
      <w:r w:rsidRPr="00540B9C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754D10">
        <w:rPr>
          <w:rFonts w:hint="eastAsia"/>
          <w:sz w:val="24"/>
          <w:szCs w:val="24"/>
        </w:rPr>
        <w:t>専門技術力の項細目の欄中</w:t>
      </w:r>
      <w:r w:rsidR="00CF2DEA" w:rsidRPr="00540B9C">
        <w:rPr>
          <w:rFonts w:hint="eastAsia"/>
          <w:sz w:val="24"/>
          <w:szCs w:val="24"/>
        </w:rPr>
        <w:t>「施工時への配慮」及び「コスト把握能力」は、設計業務のみ評定の対象とする。</w:t>
      </w:r>
    </w:p>
    <w:sectPr w:rsidR="00CF2DEA" w:rsidRPr="00540B9C" w:rsidSect="00182388">
      <w:pgSz w:w="11906" w:h="16838"/>
      <w:pgMar w:top="1135" w:right="1701" w:bottom="1135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E0" w:rsidRDefault="00F232E0" w:rsidP="005078D3">
      <w:r>
        <w:separator/>
      </w:r>
    </w:p>
  </w:endnote>
  <w:endnote w:type="continuationSeparator" w:id="0">
    <w:p w:rsidR="00F232E0" w:rsidRDefault="00F232E0" w:rsidP="0050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E0" w:rsidRDefault="00F232E0" w:rsidP="005078D3">
      <w:r>
        <w:separator/>
      </w:r>
    </w:p>
  </w:footnote>
  <w:footnote w:type="continuationSeparator" w:id="0">
    <w:p w:rsidR="00F232E0" w:rsidRDefault="00F232E0" w:rsidP="0050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D3"/>
    <w:rsid w:val="00080F74"/>
    <w:rsid w:val="00091C98"/>
    <w:rsid w:val="00094073"/>
    <w:rsid w:val="000A278A"/>
    <w:rsid w:val="000A32A7"/>
    <w:rsid w:val="00182388"/>
    <w:rsid w:val="00206E9E"/>
    <w:rsid w:val="002143C8"/>
    <w:rsid w:val="002418D5"/>
    <w:rsid w:val="00274A9F"/>
    <w:rsid w:val="002A30D8"/>
    <w:rsid w:val="002C644D"/>
    <w:rsid w:val="002E60B6"/>
    <w:rsid w:val="003406CA"/>
    <w:rsid w:val="004D34D5"/>
    <w:rsid w:val="005078D3"/>
    <w:rsid w:val="00540B9C"/>
    <w:rsid w:val="0060075A"/>
    <w:rsid w:val="006701B4"/>
    <w:rsid w:val="006B1FFD"/>
    <w:rsid w:val="007045B4"/>
    <w:rsid w:val="00754D10"/>
    <w:rsid w:val="007E7500"/>
    <w:rsid w:val="00824550"/>
    <w:rsid w:val="008D242F"/>
    <w:rsid w:val="008F0D34"/>
    <w:rsid w:val="00916C95"/>
    <w:rsid w:val="009206AE"/>
    <w:rsid w:val="009472B1"/>
    <w:rsid w:val="00962D0D"/>
    <w:rsid w:val="00974405"/>
    <w:rsid w:val="00A143AE"/>
    <w:rsid w:val="00A731CD"/>
    <w:rsid w:val="00A834F1"/>
    <w:rsid w:val="00A85D0C"/>
    <w:rsid w:val="00AA0E4B"/>
    <w:rsid w:val="00AA60B6"/>
    <w:rsid w:val="00AF5BB7"/>
    <w:rsid w:val="00C6463B"/>
    <w:rsid w:val="00C86EC2"/>
    <w:rsid w:val="00CF2DEA"/>
    <w:rsid w:val="00D1625F"/>
    <w:rsid w:val="00D26C3A"/>
    <w:rsid w:val="00DC5149"/>
    <w:rsid w:val="00E454FE"/>
    <w:rsid w:val="00E97380"/>
    <w:rsid w:val="00EF210B"/>
    <w:rsid w:val="00F232E0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8D3"/>
  </w:style>
  <w:style w:type="paragraph" w:styleId="a5">
    <w:name w:val="footer"/>
    <w:basedOn w:val="a"/>
    <w:link w:val="a6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8D3"/>
  </w:style>
  <w:style w:type="table" w:styleId="a7">
    <w:name w:val="Table Grid"/>
    <w:basedOn w:val="a1"/>
    <w:uiPriority w:val="59"/>
    <w:rsid w:val="00CF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8D3"/>
  </w:style>
  <w:style w:type="paragraph" w:styleId="a5">
    <w:name w:val="footer"/>
    <w:basedOn w:val="a"/>
    <w:link w:val="a6"/>
    <w:uiPriority w:val="99"/>
    <w:unhideWhenUsed/>
    <w:rsid w:val="00507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8D3"/>
  </w:style>
  <w:style w:type="table" w:styleId="a7">
    <w:name w:val="Table Grid"/>
    <w:basedOn w:val="a1"/>
    <w:uiPriority w:val="59"/>
    <w:rsid w:val="00CF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5</cp:revision>
  <dcterms:created xsi:type="dcterms:W3CDTF">2016-03-01T05:16:00Z</dcterms:created>
  <dcterms:modified xsi:type="dcterms:W3CDTF">2016-03-29T01:48:00Z</dcterms:modified>
</cp:coreProperties>
</file>